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A6" w:rsidRDefault="004C0E1D">
      <w:pPr>
        <w:rPr>
          <w:b/>
          <w:sz w:val="28"/>
          <w:szCs w:val="28"/>
        </w:rPr>
      </w:pPr>
      <w:r w:rsidRPr="004C0E1D">
        <w:rPr>
          <w:b/>
          <w:sz w:val="28"/>
          <w:szCs w:val="28"/>
        </w:rPr>
        <w:t>ABCESS2, Institut Pasteur</w:t>
      </w:r>
    </w:p>
    <w:p w:rsidR="004C0E1D" w:rsidRDefault="004C0E1D">
      <w:pPr>
        <w:rPr>
          <w:sz w:val="24"/>
          <w:szCs w:val="24"/>
        </w:rPr>
      </w:pPr>
      <w:r w:rsidRPr="004C0E1D">
        <w:rPr>
          <w:sz w:val="24"/>
          <w:szCs w:val="24"/>
          <w:u w:val="single"/>
        </w:rPr>
        <w:t>Titre de l’étude</w:t>
      </w:r>
      <w:r>
        <w:rPr>
          <w:sz w:val="24"/>
          <w:szCs w:val="24"/>
        </w:rPr>
        <w:t xml:space="preserve"> : </w:t>
      </w:r>
      <w:r w:rsidRPr="004C0E1D">
        <w:rPr>
          <w:sz w:val="24"/>
          <w:szCs w:val="24"/>
        </w:rPr>
        <w:t>ABCESS2</w:t>
      </w:r>
      <w:r>
        <w:rPr>
          <w:sz w:val="24"/>
          <w:szCs w:val="24"/>
        </w:rPr>
        <w:t xml:space="preserve"> </w:t>
      </w:r>
      <w:r w:rsidRPr="004C0E1D">
        <w:rPr>
          <w:sz w:val="24"/>
          <w:szCs w:val="24"/>
        </w:rPr>
        <w:t>Traitement de l’Hidrosadénite Suppurée de stade 2 de Hurley active: un essai de phase 3 multicentrique randomisé en double insu évaluant l’efficacité d’un traitement par antibiothérapie adaptée versus un dérivé de tétracycline.</w:t>
      </w:r>
    </w:p>
    <w:p w:rsidR="004C0E1D" w:rsidRPr="004C0E1D" w:rsidRDefault="004C0E1D" w:rsidP="004C0E1D">
      <w:pPr>
        <w:rPr>
          <w:sz w:val="24"/>
          <w:szCs w:val="24"/>
        </w:rPr>
      </w:pPr>
      <w:r w:rsidRPr="004C0E1D">
        <w:rPr>
          <w:sz w:val="24"/>
          <w:szCs w:val="24"/>
        </w:rPr>
        <w:t>L’étude se déroulera selon 2 phases comme indiqué dans le schéma ci-dessous : une première phase de 12 semaines correspondant au traitement actif (groupe A ou groupe B) et une seconde phase correspondant au traitement de suivi (</w:t>
      </w:r>
      <w:proofErr w:type="spellStart"/>
      <w:r w:rsidRPr="004C0E1D">
        <w:rPr>
          <w:sz w:val="24"/>
          <w:szCs w:val="24"/>
        </w:rPr>
        <w:t>lymécycline</w:t>
      </w:r>
      <w:proofErr w:type="spellEnd"/>
      <w:r w:rsidRPr="004C0E1D">
        <w:rPr>
          <w:sz w:val="24"/>
          <w:szCs w:val="24"/>
        </w:rPr>
        <w:t xml:space="preserve">, </w:t>
      </w:r>
      <w:proofErr w:type="spellStart"/>
      <w:r w:rsidRPr="004C0E1D">
        <w:rPr>
          <w:sz w:val="24"/>
          <w:szCs w:val="24"/>
        </w:rPr>
        <w:t>cotrimoxazole</w:t>
      </w:r>
      <w:proofErr w:type="spellEnd"/>
      <w:r w:rsidRPr="004C0E1D">
        <w:rPr>
          <w:sz w:val="24"/>
          <w:szCs w:val="24"/>
        </w:rPr>
        <w:t xml:space="preserve"> ou </w:t>
      </w:r>
      <w:proofErr w:type="spellStart"/>
      <w:r w:rsidRPr="004C0E1D">
        <w:rPr>
          <w:sz w:val="24"/>
          <w:szCs w:val="24"/>
        </w:rPr>
        <w:t>doxycycline</w:t>
      </w:r>
      <w:proofErr w:type="spellEnd"/>
      <w:r w:rsidRPr="004C0E1D">
        <w:rPr>
          <w:sz w:val="24"/>
          <w:szCs w:val="24"/>
        </w:rPr>
        <w:t>). Le traitement de suivi sera décidé par le médecin investigateur selon les recommandations dans le cadre du soin habituel.</w:t>
      </w:r>
    </w:p>
    <w:p w:rsidR="004C0E1D" w:rsidRDefault="004C0E1D">
      <w:pPr>
        <w:rPr>
          <w:sz w:val="24"/>
          <w:szCs w:val="24"/>
        </w:rPr>
      </w:pPr>
    </w:p>
    <w:p w:rsidR="004C0E1D" w:rsidRDefault="004C0E1D">
      <w:pPr>
        <w:rPr>
          <w:sz w:val="24"/>
          <w:szCs w:val="24"/>
        </w:rPr>
      </w:pPr>
      <w:r w:rsidRPr="004C0E1D">
        <w:rPr>
          <w:sz w:val="24"/>
          <w:szCs w:val="24"/>
        </w:rPr>
        <w:drawing>
          <wp:inline distT="0" distB="0" distL="0" distR="0" wp14:anchorId="78C0E0F4" wp14:editId="242CDC2B">
            <wp:extent cx="6396715" cy="220980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8259" cy="221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E1D" w:rsidRPr="009771D3" w:rsidRDefault="009771D3" w:rsidP="004C0E1D">
      <w:pPr>
        <w:rPr>
          <w:sz w:val="24"/>
          <w:szCs w:val="24"/>
          <w:u w:val="single"/>
        </w:rPr>
      </w:pPr>
      <w:r w:rsidRPr="009771D3">
        <w:rPr>
          <w:sz w:val="24"/>
          <w:szCs w:val="24"/>
          <w:u w:val="single"/>
        </w:rPr>
        <w:t xml:space="preserve">Principaux </w:t>
      </w:r>
      <w:r w:rsidR="004C0E1D" w:rsidRPr="009771D3">
        <w:rPr>
          <w:sz w:val="24"/>
          <w:szCs w:val="24"/>
          <w:u w:val="single"/>
        </w:rPr>
        <w:t>critèr</w:t>
      </w:r>
      <w:r w:rsidRPr="009771D3">
        <w:rPr>
          <w:sz w:val="24"/>
          <w:szCs w:val="24"/>
          <w:u w:val="single"/>
        </w:rPr>
        <w:t xml:space="preserve">es d’inclusion </w:t>
      </w:r>
    </w:p>
    <w:p w:rsidR="004C0E1D" w:rsidRPr="004C0E1D" w:rsidRDefault="004C0E1D" w:rsidP="004C0E1D">
      <w:pPr>
        <w:rPr>
          <w:sz w:val="24"/>
          <w:szCs w:val="24"/>
        </w:rPr>
      </w:pPr>
      <w:r w:rsidRPr="004C0E1D">
        <w:rPr>
          <w:sz w:val="24"/>
          <w:szCs w:val="24"/>
        </w:rPr>
        <w:t xml:space="preserve">• Adultes &lt; 60 ans </w:t>
      </w:r>
    </w:p>
    <w:p w:rsidR="004C0E1D" w:rsidRPr="004C0E1D" w:rsidRDefault="004C0E1D" w:rsidP="004C0E1D">
      <w:pPr>
        <w:rPr>
          <w:sz w:val="24"/>
          <w:szCs w:val="24"/>
        </w:rPr>
      </w:pPr>
      <w:r w:rsidRPr="004C0E1D">
        <w:rPr>
          <w:sz w:val="24"/>
          <w:szCs w:val="24"/>
        </w:rPr>
        <w:t xml:space="preserve">• HS stade 2 actif avec i) ≥ 1 an d'évolution et ii) ≥ 4 poussées au cours de l'année écoulée </w:t>
      </w:r>
    </w:p>
    <w:p w:rsidR="004C0E1D" w:rsidRPr="004C0E1D" w:rsidRDefault="004C0E1D" w:rsidP="004C0E1D">
      <w:pPr>
        <w:rPr>
          <w:sz w:val="24"/>
          <w:szCs w:val="24"/>
        </w:rPr>
      </w:pPr>
      <w:r w:rsidRPr="004C0E1D">
        <w:rPr>
          <w:sz w:val="24"/>
          <w:szCs w:val="24"/>
        </w:rPr>
        <w:t xml:space="preserve">• IMC &lt; 35 </w:t>
      </w:r>
    </w:p>
    <w:p w:rsidR="004C0E1D" w:rsidRPr="004C0E1D" w:rsidRDefault="004C0E1D" w:rsidP="004C0E1D">
      <w:pPr>
        <w:rPr>
          <w:sz w:val="24"/>
          <w:szCs w:val="24"/>
        </w:rPr>
      </w:pPr>
      <w:r w:rsidRPr="004C0E1D">
        <w:rPr>
          <w:sz w:val="24"/>
          <w:szCs w:val="24"/>
        </w:rPr>
        <w:t>• Contraception active compatible chez les femmes et le</w:t>
      </w:r>
      <w:r w:rsidR="009771D3">
        <w:rPr>
          <w:sz w:val="24"/>
          <w:szCs w:val="24"/>
        </w:rPr>
        <w:t xml:space="preserve">s hommes en âge de procréer ou </w:t>
      </w:r>
      <w:r w:rsidRPr="004C0E1D">
        <w:rPr>
          <w:sz w:val="24"/>
          <w:szCs w:val="24"/>
        </w:rPr>
        <w:t>impossibilité de procrée</w:t>
      </w:r>
      <w:r w:rsidR="009771D3">
        <w:rPr>
          <w:sz w:val="24"/>
          <w:szCs w:val="24"/>
        </w:rPr>
        <w:t xml:space="preserve">r </w:t>
      </w:r>
    </w:p>
    <w:p w:rsidR="004C0E1D" w:rsidRPr="009771D3" w:rsidRDefault="009771D3" w:rsidP="004C0E1D">
      <w:pPr>
        <w:rPr>
          <w:sz w:val="24"/>
          <w:szCs w:val="24"/>
          <w:u w:val="single"/>
        </w:rPr>
      </w:pPr>
      <w:r w:rsidRPr="009771D3">
        <w:rPr>
          <w:sz w:val="24"/>
          <w:szCs w:val="24"/>
          <w:u w:val="single"/>
        </w:rPr>
        <w:t xml:space="preserve">Principaux critères de non-inclusion </w:t>
      </w:r>
    </w:p>
    <w:p w:rsidR="004C0E1D" w:rsidRPr="004C0E1D" w:rsidRDefault="004C0E1D" w:rsidP="004C0E1D">
      <w:pPr>
        <w:rPr>
          <w:sz w:val="24"/>
          <w:szCs w:val="24"/>
        </w:rPr>
      </w:pPr>
      <w:r w:rsidRPr="004C0E1D">
        <w:rPr>
          <w:sz w:val="24"/>
          <w:szCs w:val="24"/>
        </w:rPr>
        <w:t xml:space="preserve">• Ancien HS stade 3 </w:t>
      </w:r>
    </w:p>
    <w:p w:rsidR="004C0E1D" w:rsidRPr="004C0E1D" w:rsidRDefault="004C0E1D" w:rsidP="004C0E1D">
      <w:pPr>
        <w:rPr>
          <w:sz w:val="24"/>
          <w:szCs w:val="24"/>
        </w:rPr>
      </w:pPr>
      <w:r w:rsidRPr="004C0E1D">
        <w:rPr>
          <w:sz w:val="24"/>
          <w:szCs w:val="24"/>
        </w:rPr>
        <w:t>• Utilisation antérieu</w:t>
      </w:r>
      <w:bookmarkStart w:id="0" w:name="_GoBack"/>
      <w:bookmarkEnd w:id="0"/>
      <w:r w:rsidRPr="004C0E1D">
        <w:rPr>
          <w:sz w:val="24"/>
          <w:szCs w:val="24"/>
        </w:rPr>
        <w:t>re d'antibiotiques au cours des 3 semaines précédant l'inclusion</w:t>
      </w:r>
    </w:p>
    <w:sectPr w:rsidR="004C0E1D" w:rsidRPr="004C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1D"/>
    <w:rsid w:val="002745A6"/>
    <w:rsid w:val="004C0E1D"/>
    <w:rsid w:val="009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7222AF"/>
  <w15:chartTrackingRefBased/>
  <w15:docId w15:val="{B78B7752-FB69-4CF3-905C-F59D844F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MONFORT Caroline</dc:creator>
  <cp:keywords/>
  <dc:description/>
  <cp:lastModifiedBy>MONFORT Caroline</cp:lastModifiedBy>
  <cp:revision>1</cp:revision>
  <dcterms:created xsi:type="dcterms:W3CDTF">2026-02-24T12:46:00Z</dcterms:created>
  <dcterms:modified xsi:type="dcterms:W3CDTF">2026-02-24T13:24:00Z</dcterms:modified>
</cp:coreProperties>
</file>